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0605 - ASA: ARCHEOLOGIA E STORIA DELL'ARTE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0605-22-22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GEN - CORSO GENERICO</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DCM0155 - LINGUA E LETTERATURA GRECA - </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S1 - Primo Semestre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MATERA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1</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L-FIL-LET/02 - LINGUA E LETTERATURA GRECA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B - Caratterizzante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50346 - Lingue e letterature antiche e medievali</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30.0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49616</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ITALIANO</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ITALIAN</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 e risultati di apprendimento</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In conformità ai generali obiettivi formativi del corso di studi ("una solida preparazione teorica e metodologica negli ambiti letterario, storico e geografico"), il corso sarà incentrato sull'evoluzione del pensiero politico greco e mira a sviluppare le seguenti conoscenze e capacità:</w:t>
            </w: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o Conoscenza e capacità di comprensione: Il corso mira a una più ricca conoscenza e comprensione dei dibattiti politici nella Grecia di età arcaica e classica, come sono testimoniati da alcuni importanti testi antichi, allo scopo di illustrare la dinamica sociale delle comunità greche in quest'epoca. Si forniranno anche alcune conoscenze elementari di greco antico (ma gli studenti interessati ad apprendere la lingua sono invitati a programmare ulteriori attività).</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o Capacità di applicare conoscenza e comprensione: Il corso aspira a sviluppare negli studenti la capacità di analizzare testi come fonti per la ricostruzione di società e ideologie. Lo studente dovrà sviluppare un uso accorto e consapevole delle fonti letterarie e documentarie ai fini della ricostruzione archeologica, artistica, storica e demoetnoantropologica, imparando a valutare il rapporto tra realtà e sua rappresentazione ideologica.</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o Autonomia di giudizio: Si auspica che durante il corso, attraverso il confronto con il pensiero antico, lo studente impari a rifiutare programmi rigidamente e banalmente articolati come il qui presente e a farsi protagonista della propria formazione, esigendo che il docente faccia di più e meglio e inviti in primo luogo alla libertà e allo spirito critico.</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o Abilità comunicative: </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Lo studente deve avere la capacità di spiegare, in maniera semplice, a persone non esperte, i principali problemi del dibattito politico greco nel V e IV secolo a.C.</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o Capacità di apprendimento: Lo studente deve essere in grado di avere un approccio critico alla letteratura sull'argomento (e, di conseguenza, su qualunque altro tema).</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According to the general educational goals of the "Archaeology and Art History" Program (with a special attention to the "ability in comparing archaeological sources to historic and documentary data", see SUA A.4.b1), the course will be centered on the study of ancient literary descriptions of regions, landscapes, and monuments, in order to provide basic knowledges and skills useful for both archaeologists and art historians. In particular, it aims at developing the following knowledges and capacities:</w:t>
            </w: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Knowledge and understanding: The course is aimed at giving a general knowledge of the nature and scope of the ancient literary genre known as periegesis, fom the archaic peripli to the imperial age, with a special focus on the works of Heraclides Criticus and Pausanias and their descriptions of the geographical space and of artworks.</w:t>
            </w: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Applying knowledge and understanding: The main aim of this course is to develop the capacity of correctly reading ancient texts, by showing that they can be used as sources of matter-of-fact information insofar as the literary strategies of the authors are disclosed and fully appreciated. </w:t>
            </w: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Making judgements: The course also aims, through instances of problem-solving, at developing the so-called "transversal skills" and independent thinking (cf. SUA A.4c). By confronting themselves with ancient texts, students shall be encouraged to be  circumspect about syllabi and their "prepackaged" and run-of-the-mill articulations (just like the present ones) and to take an active participation in their own education, obliging the teacher to give more than he promised, by inviting them to exercise freedom and have a critical attitude towards any kind of issue.</w:t>
            </w: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Communication: Students will be requested to be able to explain the main issues connected to ancient descriptions of geographical spaces and artworks, in appropriate language and with an adequate conceptualization.</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Lifelong learning skills: At the end of the course, students shall develop a critical attitude in dealing with the literature on this and - as a consequence - on any other matter.</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Nessuno, a parte una certa curiosità intellettuale.</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N.B. Nel corso si forniranno alcune conoscenze elementari di greco antico, ma gli studenti interessati ad apprendere la lingua sono invitati a programmare ulteriori attività.</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None, except some intellectual curiosity</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NB During the course, some basic elements of ancient Greek language will be taught; however, students interested in learning Greek are invited to consider the possibility of further formative activities.</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 del corso</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Le prime sei lezioni saranno dedicate a una storia generale della geografia antica. Quindi si leggeranno e commenteranno passi tratti dalle decrizioni dell'Attica e della Beozia di Eraclide e di Pausania, concentrandosi sulle loro strategie letterarie e sulla tradizione del genere periegetico (i passi di Pausania saranno scelti sulla base degli interessi e delle sollecitazioni degli studenti).</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The first six classes will be devoted to a general history of ancient geography. Then passages from Heraclides' and Pausanias’ descriptions of Attica and Boeotia will be read and commented upon, with a special focus on their literary strategies and the tradition of the periegetic genre (the choice of  Pausanias' passages will be made according to the interests and the questions of the students).</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Il corso consiste di 30 ore di lezioni frontali, ma intrecciate con esercitazioni, in quanto verteranno su una lettura commentata di testi su cui gli studenti sono chiamati ad esprimere pareri.</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Il docente commenterà i testi, invitando gli studenti a prender parte al dibattito sui problemi che essi pongono. Una attiva partecipazione degli studenti sarà apprezzata; e il docente suggerirà anche ulteriori letture e ricerche facoltative.</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Theoretical lessons (interwoven with Classroom tutorials).</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The teacher will comment upon the texts, inviting the students to take part to the debate on the problems they pose. An active participation of the students will be highly appreciated; and the teacher will also suggest some facultative further reading and research.</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Esame orale.</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Lo studente sarà invitato a fare i suoi commenti su uno o più testi analizzati durante il corso, illustrando i problemi che essi pongono e mostrando la sua capacità di collocarli nel generale contesto del genere periegetico. Un ripensamento personale, come pure ricerche speciali su temi suggeriti durante il corso, saranno apprezzati.</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Oral examination.</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The student will be invited to make his/her personal comments on one or more of the texts analyzed during the course, illustrating the problems they pose and showing his/her capacity to collocate them within the general context of the periegetic genre. A personal rethinking, as well as special researches on themes suggested during the course, will be appreciated.</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 e di approfondimento, materiale didattico Online</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Parti dei testi seguenti saranno messi a disposizione in fotocopia:</w:t>
            </w: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F. Pfister, Die Reisebilder des Herakleides, Wien 1951</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Pausania, Guida della Grecia. Libro I. L’Attica. Introduzioni, testo e traduzione a cura di Domenico Musti. Commento a cura di Luigi Beschi e Domenico Musti. Fondazione Lorenzo Valla – Arnoldo Mondadori Editore. Milano 1997</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Pausania, Guida della Grecia. Libro IX. La Beozia. Testo e traduzione a cura di Mauro Moggi. Commento a cura di Mauro Moggi e Massimo Osanna. Fondazione Lorenzo Valla – Arnoldo Mondadori Editore. Milano 2010</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Parts of the following texts will be put at the students' disposal in photocopies:</w:t>
            </w: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F. Pfister, Die Reisebilder des Herakleides, Wien 1951</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Pausania, Guida della Grecia. Libro I. L’Attica. Introduzioni, testo e traduzione a cura di Domenico Musti. Commento a cura di Luigi Beschi e Domenico Musti. Fondazione Lorenzo Valla – Arnoldo Mondadori Editore. Milano 1997</w:t>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Pausania, Guida della Grecia. Libro IX. La Beozia. Testo e traduzione a cura di Mauro Moggi. Commento a cura di Mauro Moggi e Massimo Osanna. Fondazione Lorenzo Valla – Arnoldo Mondadori Editore. Milano 2010</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e modalità di gestione dei rapporti con gli studenti</w:t>
            </w:r>
          </w:p>
        </w:tc>
        <w:tc>
          <w:p>
            <w:pPr>
              <w:rPr>
                <w:rFonts w:ascii="Arial" w:hAnsi="Arial" w:eastAsia="Times New Roman" w:cs="Times New Roman"/>
                <w:color w:val="000000"/>
              </w:rPr>
            </w:pPr>
            <w:r>
              <w:rPr>
                <w:rFonts w:ascii="Arial" w:hAnsi="Arial" w:eastAsia="Times New Roman" w:cs="Times New Roman"/>
                <w:color w:val="000000"/>
              </w:rPr>
              <w:t xml:space="preserve">GEST_RAP_STUD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Date di esame previste</w:t>
            </w:r>
          </w:p>
        </w:tc>
        <w:tc>
          <w:p>
            <w:pPr>
              <w:rPr>
                <w:rFonts w:ascii="Arial" w:hAnsi="Arial" w:eastAsia="Times New Roman" w:cs="Times New Roman"/>
                <w:color w:val="000000"/>
              </w:rPr>
            </w:pPr>
            <w:r>
              <w:rPr>
                <w:rFonts w:ascii="Arial" w:hAnsi="Arial" w:eastAsia="Times New Roman" w:cs="Times New Roman"/>
                <w:color w:val="000000"/>
              </w:rPr>
              <w:t xml:space="preserve">DATE_ESAMI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24.I, 24.II.2023</w:t>
            </w:r>
          </w:p>
          <w:p>
            <w:pPr>
              <w:rPr>
                <w:rFonts w:ascii="Arial" w:hAnsi="Arial" w:eastAsia="Times New Roman" w:cs="Times New Roman"/>
                <w:color w:val="000000"/>
              </w:rPr>
            </w:pPr>
            <w:r>
              <w:rPr>
                <w:rFonts w:ascii="Arial" w:hAnsi="Arial" w:eastAsia="Times New Roman" w:cs="Times New Roman"/>
                <w:color w:val="000000"/>
              </w:rPr>
              <w:t xml:space="preserve">15.VI, 6.VII, 27.VII.2023</w:t>
            </w:r>
          </w:p>
          <w:p>
            <w:pPr>
              <w:rPr>
                <w:rFonts w:ascii="Arial" w:hAnsi="Arial" w:eastAsia="Times New Roman" w:cs="Times New Roman"/>
                <w:color w:val="000000"/>
              </w:rPr>
            </w:pPr>
            <w:r>
              <w:rPr>
                <w:rFonts w:ascii="Arial" w:hAnsi="Arial" w:eastAsia="Times New Roman" w:cs="Times New Roman"/>
                <w:color w:val="000000"/>
              </w:rPr>
              <w:t xml:space="preserve">15.IX, 20.X, 24.XI.2023</w:t>
            </w:r>
          </w:p>
        </w:tc>
        <w:tc>
          <w:p>
            <w:pPr>
              <w:rPr>
                <w:rFonts w:ascii="Arial" w:hAnsi="Arial" w:eastAsia="Times New Roman" w:cs="Times New Roman"/>
                <w:color w:val="000000"/>
              </w:rPr>
            </w:pPr>
            <w:r>
              <w:rPr>
                <w:rFonts w:ascii="Arial" w:hAnsi="Arial" w:eastAsia="Times New Roman" w:cs="Times New Roman"/>
                <w:color w:val="000000"/>
              </w:rPr>
              <w:t xml:space="preserve">24.I, 24.II.2023</w:t>
            </w:r>
          </w:p>
          <w:p>
            <w:pPr>
              <w:rPr>
                <w:rFonts w:ascii="Arial" w:hAnsi="Arial" w:eastAsia="Times New Roman" w:cs="Times New Roman"/>
                <w:color w:val="000000"/>
              </w:rPr>
            </w:pPr>
            <w:r>
              <w:rPr>
                <w:rFonts w:ascii="Arial" w:hAnsi="Arial" w:eastAsia="Times New Roman" w:cs="Times New Roman"/>
                <w:color w:val="000000"/>
              </w:rPr>
              <w:t xml:space="preserve">15.VI, 6.VII, 27.VII.2023</w:t>
            </w:r>
          </w:p>
          <w:p>
            <w:pPr>
              <w:rPr>
                <w:rFonts w:ascii="Arial" w:hAnsi="Arial" w:eastAsia="Times New Roman" w:cs="Times New Roman"/>
                <w:color w:val="000000"/>
              </w:rPr>
            </w:pPr>
            <w:r>
              <w:rPr>
                <w:rFonts w:ascii="Arial" w:hAnsi="Arial" w:eastAsia="Times New Roman" w:cs="Times New Roman"/>
                <w:color w:val="000000"/>
              </w:rPr>
              <w:t xml:space="preserve">15.IX, 20.X, 24.XI.2023</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Seminari di esperti esterni</w:t>
            </w:r>
          </w:p>
        </w:tc>
        <w:tc>
          <w:p>
            <w:pPr>
              <w:rPr>
                <w:rFonts w:ascii="Arial" w:hAnsi="Arial" w:eastAsia="Times New Roman" w:cs="Times New Roman"/>
                <w:color w:val="000000"/>
              </w:rPr>
            </w:pPr>
            <w:r>
              <w:rPr>
                <w:rFonts w:ascii="Arial" w:hAnsi="Arial" w:eastAsia="Times New Roman" w:cs="Times New Roman"/>
                <w:color w:val="000000"/>
              </w:rPr>
              <w:t xml:space="preserve">SEM_ESP_EST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bl>
    <w:sectPr>
      <w:pgSz w:w="16839" w:h="11907" w:orient="landscape"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